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H.P Khadi  And Village  Industries  Board,Cleave Land,Shimla-171004.</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Consignment Policy</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A. AIMS AND OBJECTIVES OF THE POLICY</w:t>
      </w:r>
    </w:p>
    <w:p w:rsidR="00974FE5" w:rsidRPr="00974FE5" w:rsidRDefault="00974FE5" w:rsidP="00974FE5">
      <w:pPr>
        <w:numPr>
          <w:ilvl w:val="0"/>
          <w:numId w:val="17"/>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To implement uniform rates of commission for various Sale Units of H.P. Khadi and V.I. Board. To enrich sale units with an additional product range by providing marketing facilities to any company, firm, or person dealing in the products to be sold in the outlets.</w:t>
      </w:r>
    </w:p>
    <w:p w:rsidR="00974FE5" w:rsidRPr="00974FE5" w:rsidRDefault="00974FE5" w:rsidP="00974FE5">
      <w:pPr>
        <w:numPr>
          <w:ilvl w:val="0"/>
          <w:numId w:val="17"/>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To enter into agreements for joint working in sales front and sharing of profits with any other company, firm, or person carrying on or engaged in manufacturing or business activity that could be handled conveniently through the marketing network of the HPKVIB Board.</w:t>
      </w:r>
    </w:p>
    <w:p w:rsidR="00974FE5" w:rsidRPr="00974FE5" w:rsidRDefault="00974FE5" w:rsidP="00974FE5">
      <w:pPr>
        <w:numPr>
          <w:ilvl w:val="0"/>
          <w:numId w:val="17"/>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To bring various products under one roof and provide opportunity to the customers for a large range/variety.</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B. SCOPE OF THE POLICY</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I. PRIVATE CONSIGNORS IN SALE UNITS:</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(a) Sale across the counters in sale units with the involvement of sales personnel of the consignors against Minimum Sale Guarantee (MSG).</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(b) Sale across the counters in sale units without the involvement of sales personnel of the consignor and without Minimum Sales Guarantee (NON-MSG).</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II. PRIVATE CONSIGNORS PROCURING ORDERS ON BEHALF OF HPKVIB BOARD AT VARIOUS SALE UNITS FROM GOVERNMENT DEPARTMENTS:</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Sales where the orders are procured and executed by the consignors (against MSG/NO MSG):</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(a) Sales by participation in open tenders/against quotations published in press (NO MSG).</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(b) Sales by participation in restricted tenders/against quotations not published in press (NO MSG).</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C. OPERATIONAL MODALITIES</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1. Rates of Commission/Handling Charges:</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lastRenderedPageBreak/>
        <w:t>The following rates of commission are being proposed keeping in view the sale prospects and market competition:</w:t>
      </w:r>
    </w:p>
    <w:p w:rsidR="00974FE5" w:rsidRPr="00974FE5" w:rsidRDefault="00974FE5" w:rsidP="00974FE5">
      <w:pPr>
        <w:numPr>
          <w:ilvl w:val="0"/>
          <w:numId w:val="18"/>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Board shall charge 20% commission from the Consignors against Minimum Sale Guarantee (MSG) involving the sales personnel of the consignors.</w:t>
      </w:r>
    </w:p>
    <w:p w:rsidR="00974FE5" w:rsidRPr="00974FE5" w:rsidRDefault="00974FE5" w:rsidP="00974FE5">
      <w:pPr>
        <w:numPr>
          <w:ilvl w:val="0"/>
          <w:numId w:val="18"/>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Board shall charge a minimum 20% commission on the sale of products to be sold on a consignment basis (where MSG is not possible). The rate of commission for sale of products of Govt. Departments/Semi-Govt. Bodies shall be 10% (NON-MSG).</w:t>
      </w:r>
    </w:p>
    <w:p w:rsidR="00974FE5" w:rsidRPr="00974FE5" w:rsidRDefault="00974FE5" w:rsidP="00974FE5">
      <w:pPr>
        <w:numPr>
          <w:ilvl w:val="0"/>
          <w:numId w:val="18"/>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Sale where the orders are procured and executed by the consignors (NO MSG) whose selection is to be made by adopting tender process, the Board shall charge commission as under:</w:t>
      </w:r>
    </w:p>
    <w:tbl>
      <w:tblPr>
        <w:tblW w:w="18000" w:type="dxa"/>
        <w:tblBorders>
          <w:top w:val="single" w:sz="6" w:space="0" w:color="D1D5DB"/>
          <w:left w:val="single" w:sz="6" w:space="0" w:color="D1D5DB"/>
          <w:bottom w:val="single" w:sz="2" w:space="0" w:color="D1D5DB"/>
          <w:right w:val="single" w:sz="2" w:space="0" w:color="D1D5DB"/>
        </w:tblBorders>
        <w:tblCellMar>
          <w:top w:w="15" w:type="dxa"/>
          <w:left w:w="15" w:type="dxa"/>
          <w:bottom w:w="15" w:type="dxa"/>
          <w:right w:w="15" w:type="dxa"/>
        </w:tblCellMar>
        <w:tblLook w:val="04A0" w:firstRow="1" w:lastRow="0" w:firstColumn="1" w:lastColumn="0" w:noHBand="0" w:noVBand="1"/>
      </w:tblPr>
      <w:tblGrid>
        <w:gridCol w:w="10205"/>
        <w:gridCol w:w="7795"/>
      </w:tblGrid>
      <w:tr w:rsidR="00974FE5" w:rsidRPr="00974FE5" w:rsidTr="00974FE5">
        <w:trPr>
          <w:tblHeader/>
        </w:trPr>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974FE5" w:rsidRPr="00974FE5" w:rsidRDefault="00974FE5" w:rsidP="00974FE5">
            <w:pPr>
              <w:spacing w:after="360" w:line="240" w:lineRule="auto"/>
              <w:rPr>
                <w:rFonts w:ascii="Times New Roman" w:eastAsia="Times New Roman" w:hAnsi="Times New Roman" w:cs="Times New Roman"/>
                <w:sz w:val="24"/>
                <w:szCs w:val="24"/>
                <w:lang w:val="en-IN" w:eastAsia="en-IN"/>
              </w:rPr>
            </w:pPr>
            <w:r w:rsidRPr="00974FE5">
              <w:rPr>
                <w:rFonts w:ascii="Times New Roman" w:eastAsia="Times New Roman" w:hAnsi="Times New Roman" w:cs="Times New Roman"/>
                <w:b/>
                <w:bCs/>
                <w:sz w:val="24"/>
                <w:szCs w:val="24"/>
                <w:lang w:val="en-IN" w:eastAsia="en-IN"/>
              </w:rPr>
              <w:t>Supply Orders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974FE5" w:rsidRPr="00974FE5" w:rsidRDefault="00974FE5" w:rsidP="00974FE5">
            <w:pPr>
              <w:spacing w:after="360" w:line="240" w:lineRule="auto"/>
              <w:rPr>
                <w:rFonts w:ascii="Times New Roman" w:eastAsia="Times New Roman" w:hAnsi="Times New Roman" w:cs="Times New Roman"/>
                <w:sz w:val="24"/>
                <w:szCs w:val="24"/>
                <w:lang w:val="en-IN" w:eastAsia="en-IN"/>
              </w:rPr>
            </w:pPr>
            <w:r w:rsidRPr="00974FE5">
              <w:rPr>
                <w:rFonts w:ascii="Times New Roman" w:eastAsia="Times New Roman" w:hAnsi="Times New Roman" w:cs="Times New Roman"/>
                <w:b/>
                <w:bCs/>
                <w:sz w:val="24"/>
                <w:szCs w:val="24"/>
                <w:lang w:val="en-IN" w:eastAsia="en-IN"/>
              </w:rPr>
              <w:t>Commission Rate</w:t>
            </w:r>
          </w:p>
        </w:tc>
      </w:tr>
      <w:tr w:rsidR="00974FE5" w:rsidRPr="00974FE5" w:rsidTr="00974FE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974FE5" w:rsidRPr="00974FE5" w:rsidRDefault="00974FE5" w:rsidP="00974FE5">
            <w:pPr>
              <w:spacing w:after="360" w:line="240" w:lineRule="auto"/>
              <w:rPr>
                <w:rFonts w:ascii="Times New Roman" w:eastAsia="Times New Roman" w:hAnsi="Times New Roman" w:cs="Times New Roman"/>
                <w:sz w:val="24"/>
                <w:szCs w:val="24"/>
                <w:lang w:val="en-IN" w:eastAsia="en-IN"/>
              </w:rPr>
            </w:pPr>
            <w:r w:rsidRPr="00974FE5">
              <w:rPr>
                <w:rFonts w:ascii="Times New Roman" w:eastAsia="Times New Roman" w:hAnsi="Times New Roman" w:cs="Times New Roman"/>
                <w:sz w:val="24"/>
                <w:szCs w:val="24"/>
                <w:lang w:val="en-IN" w:eastAsia="en-IN"/>
              </w:rPr>
              <w:t>Upto Rs. 2 Lacs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974FE5" w:rsidRPr="00974FE5" w:rsidRDefault="00974FE5" w:rsidP="00974FE5">
            <w:pPr>
              <w:spacing w:after="360" w:line="240" w:lineRule="auto"/>
              <w:rPr>
                <w:rFonts w:ascii="Times New Roman" w:eastAsia="Times New Roman" w:hAnsi="Times New Roman" w:cs="Times New Roman"/>
                <w:sz w:val="24"/>
                <w:szCs w:val="24"/>
                <w:lang w:val="en-IN" w:eastAsia="en-IN"/>
              </w:rPr>
            </w:pPr>
            <w:r w:rsidRPr="00974FE5">
              <w:rPr>
                <w:rFonts w:ascii="Times New Roman" w:eastAsia="Times New Roman" w:hAnsi="Times New Roman" w:cs="Times New Roman"/>
                <w:sz w:val="24"/>
                <w:szCs w:val="24"/>
                <w:lang w:val="en-IN" w:eastAsia="en-IN"/>
              </w:rPr>
              <w:t>10%</w:t>
            </w:r>
          </w:p>
        </w:tc>
      </w:tr>
      <w:tr w:rsidR="00974FE5" w:rsidRPr="00974FE5" w:rsidTr="00974FE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974FE5" w:rsidRPr="00974FE5" w:rsidRDefault="00974FE5" w:rsidP="00974FE5">
            <w:pPr>
              <w:spacing w:after="360" w:line="240" w:lineRule="auto"/>
              <w:rPr>
                <w:rFonts w:ascii="Times New Roman" w:eastAsia="Times New Roman" w:hAnsi="Times New Roman" w:cs="Times New Roman"/>
                <w:sz w:val="24"/>
                <w:szCs w:val="24"/>
                <w:lang w:val="en-IN" w:eastAsia="en-IN"/>
              </w:rPr>
            </w:pPr>
            <w:r w:rsidRPr="00974FE5">
              <w:rPr>
                <w:rFonts w:ascii="Times New Roman" w:eastAsia="Times New Roman" w:hAnsi="Times New Roman" w:cs="Times New Roman"/>
                <w:sz w:val="24"/>
                <w:szCs w:val="24"/>
                <w:lang w:val="en-IN" w:eastAsia="en-IN"/>
              </w:rPr>
              <w:t>Rs. 2 Lacs to Rs. 10 Lacs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974FE5" w:rsidRPr="00974FE5" w:rsidRDefault="00974FE5" w:rsidP="00974FE5">
            <w:pPr>
              <w:spacing w:after="360" w:line="240" w:lineRule="auto"/>
              <w:rPr>
                <w:rFonts w:ascii="Times New Roman" w:eastAsia="Times New Roman" w:hAnsi="Times New Roman" w:cs="Times New Roman"/>
                <w:sz w:val="24"/>
                <w:szCs w:val="24"/>
                <w:lang w:val="en-IN" w:eastAsia="en-IN"/>
              </w:rPr>
            </w:pPr>
            <w:r w:rsidRPr="00974FE5">
              <w:rPr>
                <w:rFonts w:ascii="Times New Roman" w:eastAsia="Times New Roman" w:hAnsi="Times New Roman" w:cs="Times New Roman"/>
                <w:sz w:val="24"/>
                <w:szCs w:val="24"/>
                <w:lang w:val="en-IN" w:eastAsia="en-IN"/>
              </w:rPr>
              <w:t>8%</w:t>
            </w:r>
          </w:p>
        </w:tc>
      </w:tr>
      <w:tr w:rsidR="00974FE5" w:rsidRPr="00974FE5" w:rsidTr="00974FE5">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974FE5" w:rsidRPr="00974FE5" w:rsidRDefault="00974FE5" w:rsidP="00974FE5">
            <w:pPr>
              <w:spacing w:after="360" w:line="240" w:lineRule="auto"/>
              <w:rPr>
                <w:rFonts w:ascii="Times New Roman" w:eastAsia="Times New Roman" w:hAnsi="Times New Roman" w:cs="Times New Roman"/>
                <w:sz w:val="24"/>
                <w:szCs w:val="24"/>
                <w:lang w:val="en-IN" w:eastAsia="en-IN"/>
              </w:rPr>
            </w:pPr>
            <w:r w:rsidRPr="00974FE5">
              <w:rPr>
                <w:rFonts w:ascii="Times New Roman" w:eastAsia="Times New Roman" w:hAnsi="Times New Roman" w:cs="Times New Roman"/>
                <w:sz w:val="24"/>
                <w:szCs w:val="24"/>
                <w:lang w:val="en-IN" w:eastAsia="en-IN"/>
              </w:rPr>
              <w:t>Above Rs. 10 Lacs</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center"/>
            <w:hideMark/>
          </w:tcPr>
          <w:p w:rsidR="00974FE5" w:rsidRPr="00974FE5" w:rsidRDefault="00974FE5" w:rsidP="00974FE5">
            <w:pPr>
              <w:spacing w:after="360" w:line="240" w:lineRule="auto"/>
              <w:rPr>
                <w:rFonts w:ascii="Times New Roman" w:eastAsia="Times New Roman" w:hAnsi="Times New Roman" w:cs="Times New Roman"/>
                <w:sz w:val="24"/>
                <w:szCs w:val="24"/>
                <w:lang w:val="en-IN" w:eastAsia="en-IN"/>
              </w:rPr>
            </w:pPr>
            <w:r w:rsidRPr="00974FE5">
              <w:rPr>
                <w:rFonts w:ascii="Times New Roman" w:eastAsia="Times New Roman" w:hAnsi="Times New Roman" w:cs="Times New Roman"/>
                <w:sz w:val="24"/>
                <w:szCs w:val="24"/>
                <w:lang w:val="en-IN" w:eastAsia="en-IN"/>
              </w:rPr>
              <w:t>5%</w:t>
            </w:r>
          </w:p>
        </w:tc>
      </w:tr>
    </w:tbl>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I. TERMS AND CONDITIONS</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Handling charges/commission to be charged on net sales.</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Minimum Sales Guarantee (where applicable) is to be decided on the basis of the highest bid which will be over and above the “Reserve Price” by adopting tender process by the committee constituted for the purpose.</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Earnest Money Deposits (EMD) and all incidental charges for tender etc. to be quoted to HPKVIB Board shall be deposited/paid by the party/consignor concerned. The HPKVIB Board shall not pay any interest on EMD.</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Sample test reports etc., wherever required to be submitted shall be at the cost and risk of the consignor/party/parties. One set of counter sample and test report shall be retained by the Incharge concerned free of cost returnable on successful execution of order.</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In case any party is interested to undertake billing sale of approved products through counters and to charge the sales against the Minimum Sale Guarantee, the rate of commission on such billing sales shall remain the same as is for products sold across counter against Minimum Sale Guarantee in retail sale.</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All expenditure (including taxes) towards freight/transportation and other incidents incurred on consignment products including insurance shall be borne by the consignor. Goods to be supplied by consignor(s) on FOR Sale Units/Destination basis.</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 xml:space="preserve">The staff of the consignor(s) (if deployed) will work under the overall supervision and control of the concerned Incharge of the sale units of HPKVIB, and the staff shall have </w:t>
      </w:r>
      <w:r w:rsidRPr="00974FE5">
        <w:rPr>
          <w:rFonts w:ascii="Arial" w:eastAsia="Times New Roman" w:hAnsi="Arial" w:cs="Arial"/>
          <w:color w:val="334155"/>
          <w:sz w:val="24"/>
          <w:szCs w:val="24"/>
          <w:lang w:val="en-IN" w:eastAsia="en-IN"/>
        </w:rPr>
        <w:lastRenderedPageBreak/>
        <w:t>to ensure good conduct failing which the HPKVIB Board will be at liberty to terminate the arrangements. The Board will not be responsible for the employment/wages to be paid to the salesmen of the consignor.</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Sale prices to be fixed by the consignors. The Incharge of the concerned sale unit shall ensure that the sale price and quality of the products to be sold are up to the mark and competitive. Any dispute in this regard will be resolved by the committee constituted by the C.E.O. The sale would, however, be done on the cash memos/bills of the HPKVIB Board and accordingly, the cash/sale proceeds shall be collected by the HPKVIB Board.</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HPKVIB Board will not bear the cost of concession or discount, if any, offered by the consignor on the sale of products. However, consignors will be at liberty to offer discounts on products from time to time on their side, in consultation with the concerned Incharge of the sale unit.</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cost of publicity/advertisement on account of sale of the products of the consignor shall be borne by the consignors.</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account shall be settled with consignors on a monthly basis. For this purpose, consignor(s) (Billing/Counter on MSG) will submit a detailed sales statement (duly certified and tallied with the cash memo book) to the Incharge of the sale unit by 5th day of the month. The due sale proceeds after deducting the decided commission shall be released to the consignor by the Incharge concerned by way of Payee’s Account Cheque/Draft/Online. In case payment is required through Demand Draft, the draft charges will be debited to the consignor. Online account number may also be intimated in case the consignor wishes to receive payment online.</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HPKVIB Board will extend the marketing facilities to the consignors purely on a consignment basis and reserves the right to terminate the sale of all the products after giving one month’s notice.</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space to be provided to the consignors for the sale of products will not be provided as an independent showroom of the consignor(s).</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In case of any complaint from the customer(s) regarding the quality of the product, the consignor shall be solely responsible and the replacement of goods, if ever, shall be at the cost of the consignor. The decision of the concerned Incharge in the matter will be final.</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In case of Herbal Products, Eatable/Edibles, Cosmetics where the products are to be consumed orally or applied on Skin, Hair, etc., the products should be F.P.O., AGMARK, ISO, GMP certified.</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details of the constituents/contents should be printed on the packing along with the method of application, date/month of manufacture, expiry date, etc.</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consignor will be liable to make good the loss/replace the goods in case the customer(s) complains of it being sub-standard and defective, etc. The consignor will be liable to pay compensation as per the provisions of the law, in case the customer(s) claim that usage of the products of the consignor(s) has/have caused any reaction/allergy to them.</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commission shall be recovered on a monthly average basis or on actual sale whichever is higher from the consignor (MSG) and will be deducted from the sale proceeds in case it is less than the MSG.</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 xml:space="preserve">Only one party per counter will be allowed. Associate other firms of the same party or partners of these parties will not be allowed any other counter in the sale unit and will be </w:t>
      </w:r>
      <w:r w:rsidRPr="00974FE5">
        <w:rPr>
          <w:rFonts w:ascii="Arial" w:eastAsia="Times New Roman" w:hAnsi="Arial" w:cs="Arial"/>
          <w:color w:val="334155"/>
          <w:sz w:val="24"/>
          <w:szCs w:val="24"/>
          <w:lang w:val="en-IN" w:eastAsia="en-IN"/>
        </w:rPr>
        <w:lastRenderedPageBreak/>
        <w:t>liable to be rejected. An affidavit be submitted wherein the consignor assures that no other associates, etc., are participating in the tender process of the same sale unit for a counter.</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Any dispute on the marketing arrangement shall be settled by mutual negotiation or the local Courts in whose jurisdiction the sale unit of the Board is situated.</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Income Tax/Sales Tax/VAT matters of the parties should be clear and above Board. The provisions made in the relevant Acts in this behalf must be adhered to.</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In case of Minimum Sales Guarantee parties, three-month commission or amount shall be kept as security refundable to the party at the time of termination of the agreement. In case of termination of the arrangement midway due to the fault of the consignor or in case the consignor leaves in between, the security shall be forfeited.</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Insurance of the stock of the consignor is to be done by the consignor himself from any nationalized company and a copy thereof be produced to the Incharge concerned.</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Employees of the HPKVIB Board or their relations cannot be the consignor of the Board. Relatives of the employees of the HPKVIB Board shall not be appointed as staff by the consignor in the sale unit of the Board.</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CST, GST/TIN number must be obtained by the consignor where applicable.</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Bills and proforma bills are to be issued by the HPKVIB Board personnel only.</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Sales Guarantee and terms of business once fixed shall not be reduced, changed, or altered. However, in exceptional circumstances like natural calamity, railway accident, unavoidable circumstances, and riots, etc., which may result in poor achievement of targets, the reduction of Minimum Sales Guarantee may be re-considered by the Board of Directors of the HPKVIB Board.</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Parties may also participate in exhibitions if desired by the management of the Board at their own cost and risk. Sales personnel shall also be provided by the party (at its own cost and risk).</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All expenses on account of consignor sales against credit cards shall be debited to the concerned consignor. The cost of verification of credit cards shall be debited to the consignor’s account and accordingly, the consignor is to ensure the validity of credit card acceptance.</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parties shall adhere to the allocated counter/space for sale as per the agreement. The space allotted to the consignor must remain adequately stocked and presentable during the duration of working hours.</w:t>
      </w:r>
    </w:p>
    <w:p w:rsidR="00974FE5" w:rsidRPr="00974FE5" w:rsidRDefault="00974FE5" w:rsidP="00974FE5">
      <w:pPr>
        <w:numPr>
          <w:ilvl w:val="0"/>
          <w:numId w:val="19"/>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holidays and timings to be observed as per the schedule of HPKVIB Board or as per the direction of the Chief Executive Officer of the Board.</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II. CODE OF CONDUCT</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credibility of the parties will be of paramount importance to the HPKVIB Board.</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Quality of the products being sold through the HPKVIB Board should be marketable and in no way inferior to similar products in the market.</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Wherever applicable, the selling price is to be kept within the listed MRP; the same should be comparable with the prices of similar products in the market.</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HPKVIB Board reserves the right to impose and control the selling price of the products of the parties to avoid high-profit making.</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HPKVIB Board has a discount schedule and the parties will harmonize their discount accordingly.</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lastRenderedPageBreak/>
        <w:t>Confidentiality of the terms of sale, commission, and the agreement between the parties and the HPKVIB Board should be maintained. Further, the HPKVIB Board and the parties are expected to maintain confidentiality of business matters of the parties/HPKVIB Board which is learned in business association.</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parties shall maintain a register of their stocks. The HPKVIB Board reserves the right to inspect the same from time to time as per the agreement.</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Correct information of the products is to be conveyed to the customer. Misleading or exaggerated claims about the product are to be avoided. The parties shall in no way pressurize or implore the customers. The ambience of the showroom is to be maintained.</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parties are expected to maintain decorum in the sale unit and adverse commentary on various aspects such as products, display, management, staff may be avoided. Information and suggestions, if any, may be discreetly given to the Incharge concerned. Only persons authorized by the parties shall be allowed to manage the sale counter. No other person shall be allowed.</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There should be complete harmony between personnel of the parties and the staff of the sale unit. No personnel of the parties is expected to put forth his/her problem directly to the HQ of the HPKVIB Board without bringing the matter to the concerned Incharge. On grievances, the parties should send a representation in writing to the HQ with a copy to the concerned Incharge.</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From time to time, State Guests, VIPs, Senior functionaries of the Government visit the sale unit. Normally, advance notice to the HPKVIB Board is given; however, some unannounced visits are also made by the dignitaries and members of the family. All such dignitaries/family members are to be attended to by the Incharge concerned of the HPKVIB Board and in case the Incharge concerned is not available, then by the second in-charge in the sale unit/sale outlet. The parties may also be allowed by the Incharge to attend to the dignitaries.</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The HPKVIB Board may carry out publicity campaigns in audio/video and newspaper media. The products of the parties will also receive due publicity. The parties are expected to share the costs on a proportionate basis in consultation with the Incharge concerned.</w:t>
      </w:r>
    </w:p>
    <w:p w:rsidR="00974FE5" w:rsidRPr="00974FE5" w:rsidRDefault="00974FE5" w:rsidP="00974FE5">
      <w:pPr>
        <w:numPr>
          <w:ilvl w:val="0"/>
          <w:numId w:val="20"/>
        </w:numPr>
        <w:shd w:val="clear" w:color="auto" w:fill="FFFFFF"/>
        <w:spacing w:after="0" w:line="240" w:lineRule="auto"/>
        <w:ind w:left="0"/>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Clash of products must be avoided.</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b/>
          <w:bCs/>
          <w:color w:val="334155"/>
          <w:sz w:val="24"/>
          <w:szCs w:val="24"/>
          <w:lang w:val="en-IN" w:eastAsia="en-IN"/>
        </w:rPr>
        <w:t>III. MODE OF SELECTION OF CONSIGNORS</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(a) </w:t>
      </w:r>
      <w:r w:rsidRPr="00974FE5">
        <w:rPr>
          <w:rFonts w:ascii="Arial" w:eastAsia="Times New Roman" w:hAnsi="Arial" w:cs="Arial"/>
          <w:b/>
          <w:bCs/>
          <w:color w:val="334155"/>
          <w:sz w:val="24"/>
          <w:szCs w:val="24"/>
          <w:lang w:val="en-IN" w:eastAsia="en-IN"/>
        </w:rPr>
        <w:t>Counter Sales (Private) – against MSG with consignors providing sales personnel</w:t>
      </w:r>
      <w:r w:rsidRPr="00974FE5">
        <w:rPr>
          <w:rFonts w:ascii="Arial" w:eastAsia="Times New Roman" w:hAnsi="Arial" w:cs="Arial"/>
          <w:color w:val="334155"/>
          <w:sz w:val="24"/>
          <w:szCs w:val="24"/>
          <w:lang w:val="en-IN" w:eastAsia="en-IN"/>
        </w:rPr>
        <w:br/>
        <w:t>On the basis of tender through newspaper advertisement, the party offering the highest bid over and above reserve price shall be selected for a period of three years (extendable up to one year with a 20% increase in MSG) so as to ensure proper rapport, brand image, and conduct. In the event any party leaves in between or is discontinued by the HPKVIB Board, the counter shall again be allotted by open tender through advertisement in newspapers.</w:t>
      </w:r>
    </w:p>
    <w:p w:rsidR="00974FE5" w:rsidRPr="00974FE5" w:rsidRDefault="00974FE5" w:rsidP="00974FE5">
      <w:pPr>
        <w:shd w:val="clear" w:color="auto" w:fill="FFFFFF"/>
        <w:spacing w:after="384" w:line="240" w:lineRule="auto"/>
        <w:textAlignment w:val="baseline"/>
        <w:rPr>
          <w:rFonts w:ascii="Arial" w:eastAsia="Times New Roman" w:hAnsi="Arial" w:cs="Arial"/>
          <w:color w:val="334155"/>
          <w:sz w:val="24"/>
          <w:szCs w:val="24"/>
          <w:lang w:val="en-IN" w:eastAsia="en-IN"/>
        </w:rPr>
      </w:pPr>
      <w:r w:rsidRPr="00974FE5">
        <w:rPr>
          <w:rFonts w:ascii="Arial" w:eastAsia="Times New Roman" w:hAnsi="Arial" w:cs="Arial"/>
          <w:color w:val="334155"/>
          <w:sz w:val="24"/>
          <w:szCs w:val="24"/>
          <w:lang w:val="en-IN" w:eastAsia="en-IN"/>
        </w:rPr>
        <w:t>(b) </w:t>
      </w:r>
      <w:r w:rsidRPr="00974FE5">
        <w:rPr>
          <w:rFonts w:ascii="Arial" w:eastAsia="Times New Roman" w:hAnsi="Arial" w:cs="Arial"/>
          <w:b/>
          <w:bCs/>
          <w:color w:val="334155"/>
          <w:sz w:val="24"/>
          <w:szCs w:val="24"/>
          <w:lang w:val="en-IN" w:eastAsia="en-IN"/>
        </w:rPr>
        <w:t>Without MSG and No Sales Personnel of Consignors</w:t>
      </w:r>
      <w:r w:rsidRPr="00974FE5">
        <w:rPr>
          <w:rFonts w:ascii="Arial" w:eastAsia="Times New Roman" w:hAnsi="Arial" w:cs="Arial"/>
          <w:color w:val="334155"/>
          <w:sz w:val="24"/>
          <w:szCs w:val="24"/>
          <w:lang w:val="en-IN" w:eastAsia="en-IN"/>
        </w:rPr>
        <w:br/>
        <w:t>On merits, availability of space, sale prospects, and product range.</w:t>
      </w:r>
    </w:p>
    <w:p w:rsidR="00B3360A" w:rsidRPr="00974FE5" w:rsidRDefault="00B3360A" w:rsidP="00974FE5">
      <w:bookmarkStart w:id="0" w:name="_GoBack"/>
      <w:bookmarkEnd w:id="0"/>
    </w:p>
    <w:sectPr w:rsidR="00B3360A" w:rsidRPr="00974FE5" w:rsidSect="00570F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22027"/>
    <w:multiLevelType w:val="multilevel"/>
    <w:tmpl w:val="7818BD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A70E50"/>
    <w:multiLevelType w:val="hybridMultilevel"/>
    <w:tmpl w:val="BB64759C"/>
    <w:lvl w:ilvl="0" w:tplc="51E2CA8C">
      <w:start w:val="1"/>
      <w:numFmt w:val="upperRoman"/>
      <w:lvlText w:val="%1."/>
      <w:lvlJc w:val="left"/>
      <w:pPr>
        <w:ind w:left="720" w:hanging="720"/>
      </w:pPr>
      <w:rPr>
        <w:rFonts w:hint="default"/>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2A10CD3"/>
    <w:multiLevelType w:val="hybridMultilevel"/>
    <w:tmpl w:val="4322F046"/>
    <w:lvl w:ilvl="0" w:tplc="60A894E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EA07ED"/>
    <w:multiLevelType w:val="multilevel"/>
    <w:tmpl w:val="7F1E3B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E752EF"/>
    <w:multiLevelType w:val="multilevel"/>
    <w:tmpl w:val="D818C6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931720"/>
    <w:multiLevelType w:val="hybridMultilevel"/>
    <w:tmpl w:val="FAF65F6A"/>
    <w:lvl w:ilvl="0" w:tplc="01BCCC94">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FF86D00"/>
    <w:multiLevelType w:val="hybridMultilevel"/>
    <w:tmpl w:val="51C0C1B8"/>
    <w:lvl w:ilvl="0" w:tplc="380A263C">
      <w:start w:val="1"/>
      <w:numFmt w:val="decimal"/>
      <w:lvlText w:val="%1."/>
      <w:lvlJc w:val="left"/>
      <w:pPr>
        <w:ind w:left="540" w:hanging="360"/>
      </w:pPr>
      <w:rPr>
        <w:rFonts w:hint="default"/>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 w15:restartNumberingAfterBreak="0">
    <w:nsid w:val="347955EA"/>
    <w:multiLevelType w:val="multilevel"/>
    <w:tmpl w:val="824C3E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F266115"/>
    <w:multiLevelType w:val="hybridMultilevel"/>
    <w:tmpl w:val="C19CF7C0"/>
    <w:lvl w:ilvl="0" w:tplc="A0764760">
      <w:start w:val="1"/>
      <w:numFmt w:val="decimal"/>
      <w:lvlText w:val="%1."/>
      <w:lvlJc w:val="left"/>
      <w:pPr>
        <w:ind w:left="180" w:hanging="360"/>
      </w:pPr>
      <w:rPr>
        <w:rFonts w:hint="default"/>
        <w:b/>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9" w15:restartNumberingAfterBreak="0">
    <w:nsid w:val="3F7B1CC8"/>
    <w:multiLevelType w:val="multilevel"/>
    <w:tmpl w:val="CDE0B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37922A1"/>
    <w:multiLevelType w:val="hybridMultilevel"/>
    <w:tmpl w:val="307C673E"/>
    <w:lvl w:ilvl="0" w:tplc="2B7ECC96">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 w15:restartNumberingAfterBreak="0">
    <w:nsid w:val="56913896"/>
    <w:multiLevelType w:val="hybridMultilevel"/>
    <w:tmpl w:val="0F662C54"/>
    <w:lvl w:ilvl="0" w:tplc="3FBC9EA8">
      <w:start w:val="1"/>
      <w:numFmt w:val="upperRoman"/>
      <w:lvlText w:val="%1."/>
      <w:lvlJc w:val="left"/>
      <w:pPr>
        <w:ind w:left="900" w:hanging="72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2" w15:restartNumberingAfterBreak="0">
    <w:nsid w:val="66010651"/>
    <w:multiLevelType w:val="hybridMultilevel"/>
    <w:tmpl w:val="AD343F16"/>
    <w:lvl w:ilvl="0" w:tplc="40B0188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A38242C"/>
    <w:multiLevelType w:val="multilevel"/>
    <w:tmpl w:val="AE14D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A9C1E79"/>
    <w:multiLevelType w:val="hybridMultilevel"/>
    <w:tmpl w:val="915858D2"/>
    <w:lvl w:ilvl="0" w:tplc="AA0297E4">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6A13DF"/>
    <w:multiLevelType w:val="hybridMultilevel"/>
    <w:tmpl w:val="938277A2"/>
    <w:lvl w:ilvl="0" w:tplc="15E8E4D4">
      <w:start w:val="1"/>
      <w:numFmt w:val="decimal"/>
      <w:lvlText w:val="%1."/>
      <w:lvlJc w:val="left"/>
      <w:pPr>
        <w:ind w:left="360" w:hanging="360"/>
      </w:pPr>
      <w:rPr>
        <w:rFonts w:hint="default"/>
        <w:b/>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6" w15:restartNumberingAfterBreak="0">
    <w:nsid w:val="6D773134"/>
    <w:multiLevelType w:val="hybridMultilevel"/>
    <w:tmpl w:val="C9D0D5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1D429C5"/>
    <w:multiLevelType w:val="multilevel"/>
    <w:tmpl w:val="4BFA3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8AA65F7"/>
    <w:multiLevelType w:val="multilevel"/>
    <w:tmpl w:val="061C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E060114"/>
    <w:multiLevelType w:val="hybridMultilevel"/>
    <w:tmpl w:val="2934321E"/>
    <w:lvl w:ilvl="0" w:tplc="D8CE14E6">
      <w:start w:val="1"/>
      <w:numFmt w:val="lowerLetter"/>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16"/>
  </w:num>
  <w:num w:numId="2">
    <w:abstractNumId w:val="2"/>
  </w:num>
  <w:num w:numId="3">
    <w:abstractNumId w:val="14"/>
  </w:num>
  <w:num w:numId="4">
    <w:abstractNumId w:val="5"/>
  </w:num>
  <w:num w:numId="5">
    <w:abstractNumId w:val="19"/>
  </w:num>
  <w:num w:numId="6">
    <w:abstractNumId w:val="10"/>
  </w:num>
  <w:num w:numId="7">
    <w:abstractNumId w:val="8"/>
  </w:num>
  <w:num w:numId="8">
    <w:abstractNumId w:val="11"/>
  </w:num>
  <w:num w:numId="9">
    <w:abstractNumId w:val="1"/>
  </w:num>
  <w:num w:numId="10">
    <w:abstractNumId w:val="15"/>
  </w:num>
  <w:num w:numId="11">
    <w:abstractNumId w:val="6"/>
  </w:num>
  <w:num w:numId="12">
    <w:abstractNumId w:val="12"/>
  </w:num>
  <w:num w:numId="13">
    <w:abstractNumId w:val="4"/>
  </w:num>
  <w:num w:numId="14">
    <w:abstractNumId w:val="0"/>
  </w:num>
  <w:num w:numId="15">
    <w:abstractNumId w:val="17"/>
  </w:num>
  <w:num w:numId="16">
    <w:abstractNumId w:val="3"/>
  </w:num>
  <w:num w:numId="17">
    <w:abstractNumId w:val="13"/>
  </w:num>
  <w:num w:numId="18">
    <w:abstractNumId w:val="9"/>
  </w:num>
  <w:num w:numId="19">
    <w:abstractNumId w:val="18"/>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2"/>
  </w:compat>
  <w:rsids>
    <w:rsidRoot w:val="006B2CD0"/>
    <w:rsid w:val="0002591F"/>
    <w:rsid w:val="00035780"/>
    <w:rsid w:val="00066EBC"/>
    <w:rsid w:val="000B0241"/>
    <w:rsid w:val="001A552F"/>
    <w:rsid w:val="001B38CA"/>
    <w:rsid w:val="001C3D6D"/>
    <w:rsid w:val="001F42FC"/>
    <w:rsid w:val="002275CA"/>
    <w:rsid w:val="00255C95"/>
    <w:rsid w:val="002E3814"/>
    <w:rsid w:val="00302601"/>
    <w:rsid w:val="00325387"/>
    <w:rsid w:val="003A2F98"/>
    <w:rsid w:val="004045BB"/>
    <w:rsid w:val="00430110"/>
    <w:rsid w:val="00482E4B"/>
    <w:rsid w:val="00493164"/>
    <w:rsid w:val="005176BC"/>
    <w:rsid w:val="0052077B"/>
    <w:rsid w:val="00554013"/>
    <w:rsid w:val="00555403"/>
    <w:rsid w:val="00570CE6"/>
    <w:rsid w:val="00570F51"/>
    <w:rsid w:val="005A2FA5"/>
    <w:rsid w:val="005B6913"/>
    <w:rsid w:val="00624F8A"/>
    <w:rsid w:val="0062523C"/>
    <w:rsid w:val="006B2CD0"/>
    <w:rsid w:val="00700690"/>
    <w:rsid w:val="00702D60"/>
    <w:rsid w:val="00772BCE"/>
    <w:rsid w:val="00796FE1"/>
    <w:rsid w:val="007D0463"/>
    <w:rsid w:val="00846629"/>
    <w:rsid w:val="00854CD8"/>
    <w:rsid w:val="008B5BFF"/>
    <w:rsid w:val="008F1A06"/>
    <w:rsid w:val="008F4D2D"/>
    <w:rsid w:val="00931EDD"/>
    <w:rsid w:val="00940102"/>
    <w:rsid w:val="009507C8"/>
    <w:rsid w:val="00974FE5"/>
    <w:rsid w:val="009C7199"/>
    <w:rsid w:val="00AF179E"/>
    <w:rsid w:val="00B32F85"/>
    <w:rsid w:val="00B3360A"/>
    <w:rsid w:val="00B71606"/>
    <w:rsid w:val="00C07533"/>
    <w:rsid w:val="00C56621"/>
    <w:rsid w:val="00CF13BC"/>
    <w:rsid w:val="00D81DE3"/>
    <w:rsid w:val="00D84214"/>
    <w:rsid w:val="00E7448F"/>
    <w:rsid w:val="00EA1E76"/>
    <w:rsid w:val="00F00CEE"/>
    <w:rsid w:val="00F31BC2"/>
    <w:rsid w:val="00F42631"/>
    <w:rsid w:val="00F4647F"/>
    <w:rsid w:val="00F549E7"/>
    <w:rsid w:val="00F74F91"/>
    <w:rsid w:val="00FA18EB"/>
    <w:rsid w:val="00FF3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14A977-3C44-4C8B-A6A3-5C2BABA6F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0F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2CD0"/>
    <w:pPr>
      <w:ind w:left="720"/>
      <w:contextualSpacing/>
    </w:pPr>
  </w:style>
  <w:style w:type="paragraph" w:customStyle="1" w:styleId="has-medium-font-size">
    <w:name w:val="has-medium-font-size"/>
    <w:basedOn w:val="Normal"/>
    <w:rsid w:val="00974FE5"/>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974FE5"/>
    <w:rPr>
      <w:b/>
      <w:bCs/>
    </w:rPr>
  </w:style>
  <w:style w:type="paragraph" w:styleId="NormalWeb">
    <w:name w:val="Normal (Web)"/>
    <w:basedOn w:val="Normal"/>
    <w:uiPriority w:val="99"/>
    <w:semiHidden/>
    <w:unhideWhenUsed/>
    <w:rsid w:val="00974FE5"/>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086419">
      <w:bodyDiv w:val="1"/>
      <w:marLeft w:val="0"/>
      <w:marRight w:val="0"/>
      <w:marTop w:val="0"/>
      <w:marBottom w:val="0"/>
      <w:divBdr>
        <w:top w:val="none" w:sz="0" w:space="0" w:color="auto"/>
        <w:left w:val="none" w:sz="0" w:space="0" w:color="auto"/>
        <w:bottom w:val="none" w:sz="0" w:space="0" w:color="auto"/>
        <w:right w:val="none" w:sz="0" w:space="0" w:color="auto"/>
      </w:divBdr>
    </w:div>
    <w:div w:id="1731808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2F71FA-CD69-431F-939B-8870BD871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679</TotalTime>
  <Pages>6</Pages>
  <Words>2007</Words>
  <Characters>11444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11</cp:revision>
  <dcterms:created xsi:type="dcterms:W3CDTF">2023-09-30T08:42:00Z</dcterms:created>
  <dcterms:modified xsi:type="dcterms:W3CDTF">2025-07-24T07:46:00Z</dcterms:modified>
</cp:coreProperties>
</file>